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718" w:rsidRDefault="00A44718" w:rsidP="007632F0">
      <w:pPr>
        <w:spacing w:line="480" w:lineRule="auto"/>
        <w:jc w:val="center"/>
        <w:rPr>
          <w:rFonts w:ascii="Times New Roman" w:hAnsi="Times New Roman" w:cs="Times New Roman"/>
          <w:color w:val="000000" w:themeColor="text1"/>
          <w:sz w:val="24"/>
          <w:szCs w:val="24"/>
        </w:rPr>
      </w:pPr>
    </w:p>
    <w:p w:rsidR="00A44718" w:rsidRDefault="00A44718" w:rsidP="007632F0">
      <w:pPr>
        <w:spacing w:line="480" w:lineRule="auto"/>
        <w:jc w:val="center"/>
        <w:rPr>
          <w:rFonts w:ascii="Times New Roman" w:hAnsi="Times New Roman" w:cs="Times New Roman"/>
          <w:color w:val="000000" w:themeColor="text1"/>
          <w:sz w:val="24"/>
          <w:szCs w:val="24"/>
        </w:rPr>
      </w:pPr>
    </w:p>
    <w:p w:rsidR="00A44718" w:rsidRDefault="00A44718" w:rsidP="007632F0">
      <w:pPr>
        <w:spacing w:line="480" w:lineRule="auto"/>
        <w:jc w:val="center"/>
        <w:rPr>
          <w:rFonts w:ascii="Times New Roman" w:hAnsi="Times New Roman" w:cs="Times New Roman"/>
          <w:color w:val="000000" w:themeColor="text1"/>
          <w:sz w:val="24"/>
          <w:szCs w:val="24"/>
        </w:rPr>
      </w:pPr>
    </w:p>
    <w:p w:rsidR="00A44718" w:rsidRDefault="00A44718" w:rsidP="007632F0">
      <w:pPr>
        <w:spacing w:line="480" w:lineRule="auto"/>
        <w:jc w:val="center"/>
        <w:rPr>
          <w:rFonts w:ascii="Times New Roman" w:hAnsi="Times New Roman" w:cs="Times New Roman"/>
          <w:color w:val="000000" w:themeColor="text1"/>
          <w:sz w:val="24"/>
          <w:szCs w:val="24"/>
        </w:rPr>
      </w:pPr>
    </w:p>
    <w:p w:rsidR="00A44718" w:rsidRDefault="00A44718" w:rsidP="007632F0">
      <w:pPr>
        <w:spacing w:line="480" w:lineRule="auto"/>
        <w:jc w:val="center"/>
        <w:rPr>
          <w:rFonts w:ascii="Times New Roman" w:hAnsi="Times New Roman" w:cs="Times New Roman"/>
          <w:color w:val="000000" w:themeColor="text1"/>
          <w:sz w:val="24"/>
          <w:szCs w:val="24"/>
        </w:rPr>
      </w:pPr>
    </w:p>
    <w:p w:rsidR="00A44718" w:rsidRDefault="00A44718"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Balance of Payments (BOP)</w:t>
      </w:r>
    </w:p>
    <w:p w:rsidR="00624BC4" w:rsidRPr="00A44718" w:rsidRDefault="00624BC4"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Name</w:t>
      </w:r>
    </w:p>
    <w:p w:rsidR="00624BC4" w:rsidRPr="00A44718" w:rsidRDefault="00624BC4"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Institution</w:t>
      </w:r>
    </w:p>
    <w:p w:rsidR="00624BC4" w:rsidRPr="00A44718" w:rsidRDefault="00624BC4"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Date </w:t>
      </w: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p>
    <w:p w:rsidR="00624BC4" w:rsidRPr="00A44718" w:rsidRDefault="00624BC4"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lastRenderedPageBreak/>
        <w:t>Balance of Payment</w:t>
      </w:r>
      <w:r w:rsidR="001907F4">
        <w:rPr>
          <w:rFonts w:ascii="Times New Roman" w:hAnsi="Times New Roman" w:cs="Times New Roman"/>
          <w:color w:val="000000" w:themeColor="text1"/>
          <w:sz w:val="24"/>
          <w:szCs w:val="24"/>
        </w:rPr>
        <w:t>s</w:t>
      </w:r>
      <w:r w:rsidRPr="00A44718">
        <w:rPr>
          <w:rFonts w:ascii="Times New Roman" w:hAnsi="Times New Roman" w:cs="Times New Roman"/>
          <w:color w:val="000000" w:themeColor="text1"/>
          <w:sz w:val="24"/>
          <w:szCs w:val="24"/>
        </w:rPr>
        <w:t xml:space="preserve"> (BOP)</w:t>
      </w:r>
    </w:p>
    <w:p w:rsidR="00624BC4" w:rsidRPr="00A44718" w:rsidRDefault="00624BC4"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The balance of payment (BOP), commonly known as the balance of international payments, is a system of recording all transactions that a nation's individuals, c</w:t>
      </w:r>
      <w:r w:rsidR="00417C31">
        <w:rPr>
          <w:rFonts w:ascii="Times New Roman" w:hAnsi="Times New Roman" w:cs="Times New Roman"/>
          <w:color w:val="000000" w:themeColor="text1"/>
          <w:sz w:val="24"/>
          <w:szCs w:val="24"/>
        </w:rPr>
        <w:t>ompanies, as well as government</w:t>
      </w:r>
      <w:r w:rsidRPr="00A44718">
        <w:rPr>
          <w:rFonts w:ascii="Times New Roman" w:hAnsi="Times New Roman" w:cs="Times New Roman"/>
          <w:color w:val="000000" w:themeColor="text1"/>
          <w:sz w:val="24"/>
          <w:szCs w:val="24"/>
        </w:rPr>
        <w:t xml:space="preserve"> bodies undertake with individuals, companies, and governments outside the country. In other words, BOP is a summary of all transactions that take place amid nations. Hadili, Raab, &amp; Wenzelburger, (2020), assert that the BOP is commonly featured by transactions of imports and exports of a variety of goods, services, capital, and transfer payments which includes foreign aids and remittances. Any movement of funds into and out of any country must be recorded and accounted for, and hence it helps in monitoring the flow of funds to develop the economy (Hadili et al., 2020). A nation's balance of payment in addition to net international investment positions together makes the international accounts. A perfect BOP statement of a nation sheds light on whether the nation has a surplus or deficit of funds. For instance, when a nation's exports more than it imports, its BOP is more likely to record a surplus. Conversely, when imports are more than exports, the nation is likely to record a deficit in the BOP. According to International Monetary Funds, every country must follow the double-entry system of accounting when peeping track of the transactions under BOP by debiting and crediting entries in accordance with their correspondence.</w:t>
      </w:r>
    </w:p>
    <w:p w:rsidR="00624BC4" w:rsidRPr="00A44718" w:rsidRDefault="00624BC4"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A country's BOP is quite essential in that it sheds light on the economic and financial status of a country. The BOP also serves as an indicator in defining whether a country's currency value is increasing or decreasing (Abbas &amp; Rogoff, 2019). More importantly, it helps the Government to come up with a rational decision on fiscal as well as trade policies, and it avails critical information to accurately analyze and comprehend the economic dealings of a country with other nations.</w:t>
      </w:r>
    </w:p>
    <w:p w:rsidR="00624BC4" w:rsidRPr="00A44718" w:rsidRDefault="00624BC4"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lastRenderedPageBreak/>
        <w:t>The BOP is featured with three major components, which include current account, capital accounts, and financial account, and their totals must balance. The current account is mainly applied to monitor the flow as well as the outflow of goods and services amid countries (Abbas &amp; Rogoff, 2019). This account covers all the receipts, and payments are recorded in accordance with the movement of raw materials and manufactured goods within a country's borders. Also, the current account tends to be inclusive of receipts from other core sectors within a country, and these included tourism, engineering, transportation, and royalties from patents and copyrights (Abbas &amp; Rogoff, 2019). As evident, there are varied types of trade and financial transfers that take place within a nation, such as visible or invisible trading.</w:t>
      </w:r>
    </w:p>
    <w:p w:rsidR="008634AA" w:rsidRDefault="00624BC4" w:rsidP="00427D8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The component of capital account captures all ideal transactions between countries. The account entails sales and purchase of assets such as land and properties. In more concentric terms, capital transactions entail the actual flow of taxes, purchases, and sales of fixed assets (Abbas &amp; Rogoff, 2019). The main elements of capital accounts include loans and borrowings, investments, and foreign exchange reserves.  The financial account is quite an essential component in the context of developing the BOP statement. It captures the inflow and outflow of funds to foreign nations via different investments such as foreign direct investments, financial accounts, and business ventures, among other accounts that are actively monitored through the financial accounts (Abbas &amp; Rogoff, 2019). </w:t>
      </w:r>
    </w:p>
    <w:p w:rsidR="00427D80" w:rsidRDefault="00427D80" w:rsidP="00427D80">
      <w:pPr>
        <w:spacing w:line="480" w:lineRule="auto"/>
        <w:ind w:firstLine="720"/>
        <w:rPr>
          <w:rFonts w:ascii="Times New Roman" w:hAnsi="Times New Roman" w:cs="Times New Roman"/>
          <w:color w:val="000000" w:themeColor="text1"/>
          <w:sz w:val="24"/>
          <w:szCs w:val="24"/>
        </w:rPr>
      </w:pPr>
    </w:p>
    <w:p w:rsidR="00427D80" w:rsidRDefault="00427D80" w:rsidP="00427D80">
      <w:pPr>
        <w:spacing w:line="480" w:lineRule="auto"/>
        <w:ind w:firstLine="720"/>
        <w:rPr>
          <w:rFonts w:ascii="Times New Roman" w:hAnsi="Times New Roman" w:cs="Times New Roman"/>
          <w:color w:val="000000" w:themeColor="text1"/>
          <w:sz w:val="24"/>
          <w:szCs w:val="24"/>
        </w:rPr>
      </w:pPr>
    </w:p>
    <w:p w:rsidR="00427D80" w:rsidRDefault="00427D80" w:rsidP="00427D80">
      <w:pPr>
        <w:spacing w:line="480" w:lineRule="auto"/>
        <w:ind w:firstLine="720"/>
        <w:rPr>
          <w:rFonts w:ascii="Times New Roman" w:hAnsi="Times New Roman" w:cs="Times New Roman"/>
          <w:color w:val="000000" w:themeColor="text1"/>
          <w:sz w:val="24"/>
          <w:szCs w:val="24"/>
        </w:rPr>
      </w:pPr>
    </w:p>
    <w:p w:rsidR="00427D80" w:rsidRPr="00A44718" w:rsidRDefault="00427D80" w:rsidP="00427D80">
      <w:pPr>
        <w:spacing w:line="480" w:lineRule="auto"/>
        <w:ind w:firstLine="720"/>
        <w:rPr>
          <w:rFonts w:ascii="Times New Roman" w:hAnsi="Times New Roman" w:cs="Times New Roman"/>
          <w:color w:val="000000" w:themeColor="text1"/>
          <w:sz w:val="24"/>
          <w:szCs w:val="24"/>
        </w:rPr>
      </w:pPr>
    </w:p>
    <w:p w:rsidR="008941B3" w:rsidRPr="00A44718" w:rsidRDefault="00DD5B77"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lastRenderedPageBreak/>
        <w:t>Financial Account for the USA from 2007 to the present</w:t>
      </w:r>
    </w:p>
    <w:tbl>
      <w:tblPr>
        <w:tblStyle w:val="TableGrid"/>
        <w:tblW w:w="0" w:type="auto"/>
        <w:tblLook w:val="04A0" w:firstRow="1" w:lastRow="0" w:firstColumn="1" w:lastColumn="0" w:noHBand="0" w:noVBand="1"/>
      </w:tblPr>
      <w:tblGrid>
        <w:gridCol w:w="3405"/>
        <w:gridCol w:w="4152"/>
      </w:tblGrid>
      <w:tr w:rsidR="00A44718" w:rsidRPr="00A44718" w:rsidTr="005C524A">
        <w:trPr>
          <w:trHeight w:val="449"/>
        </w:trPr>
        <w:tc>
          <w:tcPr>
            <w:tcW w:w="3405" w:type="dxa"/>
          </w:tcPr>
          <w:p w:rsidR="008941B3" w:rsidRPr="00A44718" w:rsidRDefault="005C524A"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Year</w:t>
            </w:r>
          </w:p>
        </w:tc>
        <w:tc>
          <w:tcPr>
            <w:tcW w:w="4152"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Amount in </w:t>
            </w:r>
            <w:r w:rsidR="00A47014" w:rsidRPr="00A44718">
              <w:rPr>
                <w:rFonts w:ascii="Times New Roman" w:hAnsi="Times New Roman" w:cs="Times New Roman"/>
                <w:color w:val="000000" w:themeColor="text1"/>
                <w:sz w:val="24"/>
                <w:szCs w:val="24"/>
              </w:rPr>
              <w:t>Billions</w:t>
            </w:r>
          </w:p>
        </w:tc>
      </w:tr>
      <w:tr w:rsidR="00A44718" w:rsidRPr="00A44718" w:rsidTr="005C524A">
        <w:trPr>
          <w:trHeight w:val="243"/>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2007</w:t>
            </w:r>
          </w:p>
        </w:tc>
        <w:tc>
          <w:tcPr>
            <w:tcW w:w="4152"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-711.033</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2008</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-680.391</w:t>
            </w:r>
          </w:p>
        </w:tc>
      </w:tr>
      <w:tr w:rsidR="00A44718" w:rsidRPr="00A44718" w:rsidTr="005C524A">
        <w:trPr>
          <w:trHeight w:val="218"/>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2009</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-372.522</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2010</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-431.721</w:t>
            </w:r>
          </w:p>
        </w:tc>
      </w:tr>
      <w:tr w:rsidR="00A44718" w:rsidRPr="00A44718" w:rsidTr="005C524A">
        <w:trPr>
          <w:trHeight w:val="218"/>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2011</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-445.667</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2012</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-426.83</w:t>
            </w:r>
          </w:p>
        </w:tc>
      </w:tr>
      <w:tr w:rsidR="00A44718" w:rsidRPr="00A44718" w:rsidTr="005C524A">
        <w:trPr>
          <w:trHeight w:val="218"/>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2013</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-348.803</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2014</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-365.193</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2015</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-407.769</w:t>
            </w:r>
          </w:p>
        </w:tc>
      </w:tr>
      <w:tr w:rsidR="00A44718" w:rsidRPr="00A44718" w:rsidTr="005C524A">
        <w:trPr>
          <w:trHeight w:val="218"/>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2016</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-428.35</w:t>
            </w:r>
          </w:p>
        </w:tc>
      </w:tr>
      <w:tr w:rsidR="00A44718" w:rsidRPr="00A44718" w:rsidTr="005C524A">
        <w:trPr>
          <w:trHeight w:val="231"/>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2017</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-439.462</w:t>
            </w:r>
          </w:p>
        </w:tc>
      </w:tr>
      <w:tr w:rsidR="00A44718" w:rsidRPr="00A44718" w:rsidTr="005C524A">
        <w:trPr>
          <w:trHeight w:val="218"/>
        </w:trPr>
        <w:tc>
          <w:tcPr>
            <w:tcW w:w="3405" w:type="dxa"/>
          </w:tcPr>
          <w:p w:rsidR="008941B3" w:rsidRPr="00A44718" w:rsidRDefault="008941B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2018</w:t>
            </w:r>
          </w:p>
        </w:tc>
        <w:tc>
          <w:tcPr>
            <w:tcW w:w="4152" w:type="dxa"/>
          </w:tcPr>
          <w:p w:rsidR="008941B3" w:rsidRPr="00A44718" w:rsidRDefault="00D57DC3" w:rsidP="007632F0">
            <w:pPr>
              <w:spacing w:line="480" w:lineRule="auto"/>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-490.991</w:t>
            </w:r>
          </w:p>
        </w:tc>
      </w:tr>
    </w:tbl>
    <w:p w:rsidR="00194F09" w:rsidRPr="00A44718" w:rsidRDefault="00194F09" w:rsidP="007632F0">
      <w:pPr>
        <w:spacing w:line="480" w:lineRule="auto"/>
        <w:rPr>
          <w:rFonts w:ascii="Times New Roman" w:hAnsi="Times New Roman" w:cs="Times New Roman"/>
          <w:color w:val="000000" w:themeColor="text1"/>
          <w:sz w:val="24"/>
          <w:szCs w:val="24"/>
        </w:rPr>
      </w:pPr>
    </w:p>
    <w:p w:rsidR="003E0F75" w:rsidRDefault="003E0F75" w:rsidP="007632F0">
      <w:pPr>
        <w:spacing w:line="480" w:lineRule="auto"/>
        <w:jc w:val="center"/>
        <w:rPr>
          <w:rFonts w:ascii="Times New Roman" w:hAnsi="Times New Roman" w:cs="Times New Roman"/>
          <w:b/>
          <w:color w:val="000000" w:themeColor="text1"/>
          <w:sz w:val="24"/>
          <w:szCs w:val="24"/>
        </w:rPr>
      </w:pPr>
      <w:r w:rsidRPr="00A44718">
        <w:rPr>
          <w:rFonts w:ascii="Times New Roman" w:hAnsi="Times New Roman" w:cs="Times New Roman"/>
          <w:noProof/>
          <w:color w:val="000000" w:themeColor="text1"/>
          <w:sz w:val="24"/>
          <w:szCs w:val="24"/>
        </w:rPr>
        <w:lastRenderedPageBreak/>
        <w:drawing>
          <wp:inline distT="0" distB="0" distL="0" distR="0" wp14:anchorId="1A86F4AE" wp14:editId="466577A6">
            <wp:extent cx="5943600" cy="4172977"/>
            <wp:effectExtent l="0" t="0" r="0"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03E16" w:rsidRPr="00A44718" w:rsidRDefault="00803E16" w:rsidP="007632F0">
      <w:pPr>
        <w:spacing w:line="480" w:lineRule="auto"/>
        <w:jc w:val="center"/>
        <w:rPr>
          <w:rFonts w:ascii="Times New Roman" w:hAnsi="Times New Roman" w:cs="Times New Roman"/>
          <w:b/>
          <w:color w:val="000000" w:themeColor="text1"/>
          <w:sz w:val="24"/>
          <w:szCs w:val="24"/>
        </w:rPr>
      </w:pPr>
      <w:bookmarkStart w:id="0" w:name="_GoBack"/>
      <w:bookmarkEnd w:id="0"/>
      <w:r w:rsidRPr="00A44718">
        <w:rPr>
          <w:rFonts w:ascii="Times New Roman" w:hAnsi="Times New Roman" w:cs="Times New Roman"/>
          <w:b/>
          <w:color w:val="000000" w:themeColor="text1"/>
          <w:sz w:val="24"/>
          <w:szCs w:val="24"/>
        </w:rPr>
        <w:t>The nature of metrics</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The recorded data illustrates the most accurate features of financial accounting as a large component of the balance of payments. Analytically, the country’s financial accounts stretching from 2007 to the present has never been stable. However, it has been featured with inevitable fluctuations. The estimated BOP has been negative for the past years. As evident from the presented data, the country recorded one of the greatest deficits in its BOP in the year 2007, which kept on deteriorating for the succeeding years, recording the highest amount of BOP of -348.803 USD in 2013 (International Monetary Funds</w:t>
      </w:r>
      <w:r w:rsidR="00417C31">
        <w:rPr>
          <w:rFonts w:ascii="Times New Roman" w:hAnsi="Times New Roman" w:cs="Times New Roman"/>
          <w:color w:val="000000" w:themeColor="text1"/>
          <w:sz w:val="24"/>
          <w:szCs w:val="24"/>
        </w:rPr>
        <w:t>,</w:t>
      </w:r>
      <w:r w:rsidRPr="00A44718">
        <w:rPr>
          <w:rFonts w:ascii="Times New Roman" w:hAnsi="Times New Roman" w:cs="Times New Roman"/>
          <w:color w:val="000000" w:themeColor="text1"/>
          <w:sz w:val="24"/>
          <w:szCs w:val="24"/>
        </w:rPr>
        <w:t xml:space="preserve"> 2018). Since 2013, the BOP has been featured with a considerable deficit. The presented data illustrate that the United States of America has been encountering different trends in the BOP deficit since a lot of domestic funds </w:t>
      </w:r>
      <w:r w:rsidRPr="00A44718">
        <w:rPr>
          <w:rFonts w:ascii="Times New Roman" w:hAnsi="Times New Roman" w:cs="Times New Roman"/>
          <w:color w:val="000000" w:themeColor="text1"/>
          <w:sz w:val="24"/>
          <w:szCs w:val="24"/>
        </w:rPr>
        <w:lastRenderedPageBreak/>
        <w:t>are flowing out of the country to purchase more foreign assets than it is the case with selling domestic assets to foreign countries. Herein, too many funds are being utilized to import goods than the country exports, and hence the international ownership of assets is not balanced.</w:t>
      </w:r>
    </w:p>
    <w:p w:rsidR="00803E16" w:rsidRPr="00A44718" w:rsidRDefault="00803E16" w:rsidP="007632F0">
      <w:pPr>
        <w:spacing w:line="480" w:lineRule="auto"/>
        <w:jc w:val="center"/>
        <w:rPr>
          <w:rFonts w:ascii="Times New Roman" w:hAnsi="Times New Roman" w:cs="Times New Roman"/>
          <w:b/>
          <w:color w:val="000000" w:themeColor="text1"/>
          <w:sz w:val="24"/>
          <w:szCs w:val="24"/>
        </w:rPr>
      </w:pPr>
      <w:r w:rsidRPr="00A44718">
        <w:rPr>
          <w:rFonts w:ascii="Times New Roman" w:hAnsi="Times New Roman" w:cs="Times New Roman"/>
          <w:b/>
          <w:color w:val="000000" w:themeColor="text1"/>
          <w:sz w:val="24"/>
          <w:szCs w:val="24"/>
        </w:rPr>
        <w:t>Meaning from these Metrics and Trends</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Based on the above data, it is worthy to note that the United States has been characterized by an unfavorable balance of payment (BOP). The international ownership of assets within the country has been faced with uneven fluctuations (Linsi &amp; Mügge, 2019). In regards to trend, the USA experienced the greatest improvement between 2007 and 2009, where the country’s BOP shifted from -711.033 billion to -372.522 billion, respectively. However, the most favorable BOP recorded was -348.803 billion in 2013. The country has recorded a negative balance of payment, sharing an implication of the trade deficit in the USA.  As a multination business manager, there is a need to underscore the fact that the US economy is characterized by an increased outflow of funds to foreign countries via core indicators such as real estates, foreign direct investments, and business ventures (Linsi &amp; Mügge, 2019). These identifiable fluctuations in the BOP provide a clear indication that different sectors of the economy need to be developed. With this understanding, the country must focus on deducting the outflows of funds from inflows in an effort to record and maintain a favorable balance of payment for the country.  </w:t>
      </w:r>
    </w:p>
    <w:p w:rsidR="00803E16" w:rsidRPr="00A44718" w:rsidRDefault="00624BC4" w:rsidP="007632F0">
      <w:pPr>
        <w:spacing w:line="480" w:lineRule="auto"/>
        <w:jc w:val="center"/>
        <w:rPr>
          <w:rFonts w:ascii="Times New Roman" w:hAnsi="Times New Roman" w:cs="Times New Roman"/>
          <w:b/>
          <w:color w:val="000000" w:themeColor="text1"/>
          <w:sz w:val="24"/>
          <w:szCs w:val="24"/>
        </w:rPr>
      </w:pPr>
      <w:r w:rsidRPr="00A44718">
        <w:rPr>
          <w:rFonts w:ascii="Times New Roman" w:hAnsi="Times New Roman" w:cs="Times New Roman"/>
          <w:b/>
          <w:color w:val="000000" w:themeColor="text1"/>
          <w:sz w:val="24"/>
          <w:szCs w:val="24"/>
        </w:rPr>
        <w:t>The R</w:t>
      </w:r>
      <w:r w:rsidR="00803E16" w:rsidRPr="00A44718">
        <w:rPr>
          <w:rFonts w:ascii="Times New Roman" w:hAnsi="Times New Roman" w:cs="Times New Roman"/>
          <w:b/>
          <w:color w:val="000000" w:themeColor="text1"/>
          <w:sz w:val="24"/>
          <w:szCs w:val="24"/>
        </w:rPr>
        <w:t>elation between BOP Data and the Exchange Rates</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The Balance of Payment data and the exchange rates are highly related, and hence the above data is not exceptional. Based on the provided BOP data, it is notable that the country has an unfavorable balance of payment, sharing an implication that the country is recording more imports than it is the case with exports and hence posing a substantial influence to its DGP </w:t>
      </w:r>
      <w:r w:rsidRPr="00A44718">
        <w:rPr>
          <w:rFonts w:ascii="Times New Roman" w:hAnsi="Times New Roman" w:cs="Times New Roman"/>
          <w:color w:val="000000" w:themeColor="text1"/>
          <w:sz w:val="24"/>
          <w:szCs w:val="24"/>
        </w:rPr>
        <w:lastRenderedPageBreak/>
        <w:t>(International Monetary Fonts, 2018). An increased level of imports leads to a trade deficit and wide</w:t>
      </w:r>
      <w:r w:rsidR="00624BC4" w:rsidRPr="00A44718">
        <w:rPr>
          <w:rFonts w:ascii="Times New Roman" w:hAnsi="Times New Roman" w:cs="Times New Roman"/>
          <w:color w:val="000000" w:themeColor="text1"/>
          <w:sz w:val="24"/>
          <w:szCs w:val="24"/>
        </w:rPr>
        <w:t>ns the nation’s exchange rate. From t</w:t>
      </w:r>
      <w:r w:rsidRPr="00A44718">
        <w:rPr>
          <w:rFonts w:ascii="Times New Roman" w:hAnsi="Times New Roman" w:cs="Times New Roman"/>
          <w:color w:val="000000" w:themeColor="text1"/>
          <w:sz w:val="24"/>
          <w:szCs w:val="24"/>
        </w:rPr>
        <w:t>he BOP data, there is an indication that the BOP value is tending to negative. Such a trend indicates that the US has a strong domestic currency, which deters exports while making imports cheaper (International Monetary Fonts, 2018). The BOP data also indicate that there is a possibility of heightened inflation, which greatly hampers the exchange rate. According to International Monetary Funds (2018), increased inflation impacts the country’s exports through an increase in input costs such as materials and labor. Increased inflation calls for imported labor due to affiliated cost efficiency. Overall, the BOP data gives a clear indication that there are too many imports coming into the country as opposed to exports, and hence there is a likelihood increased distortion of the country’s balance of payment of trade and value of its currency. In this regard, striking a balance amid imports and exports is quite viral for the United States because it will lead to improved GDP, stabilize the exchange rate, control varying levels of inflation, and hence afford favorable balance of payment.</w:t>
      </w:r>
    </w:p>
    <w:p w:rsidR="00803E16" w:rsidRPr="00A44718" w:rsidRDefault="00803E16" w:rsidP="007632F0">
      <w:pPr>
        <w:spacing w:line="480" w:lineRule="auto"/>
        <w:jc w:val="center"/>
        <w:rPr>
          <w:rFonts w:ascii="Times New Roman" w:hAnsi="Times New Roman" w:cs="Times New Roman"/>
          <w:b/>
          <w:color w:val="000000" w:themeColor="text1"/>
          <w:sz w:val="24"/>
          <w:szCs w:val="24"/>
        </w:rPr>
      </w:pPr>
      <w:r w:rsidRPr="00A44718">
        <w:rPr>
          <w:rFonts w:ascii="Times New Roman" w:hAnsi="Times New Roman" w:cs="Times New Roman"/>
          <w:b/>
          <w:color w:val="000000" w:themeColor="text1"/>
          <w:sz w:val="24"/>
          <w:szCs w:val="24"/>
        </w:rPr>
        <w:t>The J-Curve</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The J-Curve comes out as an economic theory which shows that under some specific estimations that under certain country’s trade deficit will tend to worsen sooner afte</w:t>
      </w:r>
      <w:r w:rsidR="000D6EDF">
        <w:rPr>
          <w:rFonts w:ascii="Times New Roman" w:hAnsi="Times New Roman" w:cs="Times New Roman"/>
          <w:color w:val="000000" w:themeColor="text1"/>
          <w:sz w:val="24"/>
          <w:szCs w:val="24"/>
        </w:rPr>
        <w:t>r depreciation of its currency because</w:t>
      </w:r>
      <w:r w:rsidRPr="00A44718">
        <w:rPr>
          <w:rFonts w:ascii="Times New Roman" w:hAnsi="Times New Roman" w:cs="Times New Roman"/>
          <w:color w:val="000000" w:themeColor="text1"/>
          <w:sz w:val="24"/>
          <w:szCs w:val="24"/>
        </w:rPr>
        <w:t xml:space="preserve"> higher prices on imports will tend to be greater than the reduced volume of imports (Brynjolfsson, Rock, &amp; Syverson, 2018). In other words, the J Curve effect a depreciation in the exchange rate causing perfect deterioration of the current account within a short period of time while in the long-run, the demand becomes more price elastic, and therefore, the current account begins to improve. In reflection on the provided J-curve, there is a clear indication that economic stability is defined by the interplay be</w:t>
      </w:r>
      <w:r w:rsidR="000D6EDF">
        <w:rPr>
          <w:rFonts w:ascii="Times New Roman" w:hAnsi="Times New Roman" w:cs="Times New Roman"/>
          <w:color w:val="000000" w:themeColor="text1"/>
          <w:sz w:val="24"/>
          <w:szCs w:val="24"/>
        </w:rPr>
        <w:t xml:space="preserve">tween microeconomic principles and macroeconomic outcomes. </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lastRenderedPageBreak/>
        <w:t xml:space="preserve">The J-curve reflects a phenomenon in which a period of unfavorable returns is followed a gradual period of gradual recovery, which often wen higher than the starting point. As evident from the curve, there was an increased fluctuation (fall) in the price of exports from 2007 to 2009, leading to a drastic increase in quantity demanded (Brynjolfsson et al., 2018). However, the greatest devaluation was recorded in 2013, although the US currency has been highly valued in the succeeding years. The increase in the value of exports facilitated an improvement in the current account position. The J-curve also shares an implication that the bigger the demand for imports is price elastic, there is a likelihood that there will be a bigger percentage fall in demand for imports.  </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The J-curve effect in relation with reference to Marshall-Lerner condition, the estimated demand for highly-priced imports would remain price inelastic because of time lags in the consumer’s search for highly acceptable and cheaper alternatives. Ceteris Paribus, the quantity demanded imports would accurately remain the same, deteriorating the current account, and hence a balance of payment is likely to be attained in the short-run (Alawin &amp; Oqaily, 2017). However, a long term deterioration in the affiliated exchange rate could lead to the exchange rate and hence helping in attaining the expected effect of improving the current account balance.</w:t>
      </w:r>
    </w:p>
    <w:p w:rsidR="00803E16"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 xml:space="preserve">The J-curve data is quite informative for the business manager at a multinational firm. The J-curve sheds light that there is a need to underscore the importance of understanding the nature and trends of a balance of payment in relation to currency devaluation (Brynjolfsson et al., 2018). The multinational firm business manager should understand the fact that a weak currency means that imports will turn to be expensive, and it will be more profitable to export commodities (Alawin &amp; Oqaily, 2017). The imbalance would lead to a fall in the current account, leading to a significantly reduced surplus or an increased deficit. The manager is also </w:t>
      </w:r>
      <w:r w:rsidRPr="00A44718">
        <w:rPr>
          <w:rFonts w:ascii="Times New Roman" w:hAnsi="Times New Roman" w:cs="Times New Roman"/>
          <w:color w:val="000000" w:themeColor="text1"/>
          <w:sz w:val="24"/>
          <w:szCs w:val="24"/>
        </w:rPr>
        <w:lastRenderedPageBreak/>
        <w:t>required to understand the aftermath of devaluation of a currency, that there will be acute fluctuation of the consumption of imported goods, and hence the multinational agency should take the initiative to meet the demand for cheaper alternatives for their customer in the short run. From another point of view, a multinational business manager should underscore the long-term implication of currency devaluation based on the fact that local consumers will actively shift to the consumption of locally comparable products (Brynjolfsson, Rock, &amp; Syverson, 2018).  For that reason, the manager should understand that the current economic trends that are expected to improving the current account balance.  Overall, a business manager in a multi-international firm must acknowledge the reasons behind the formation of J-curve, and what it means to have a country’s currency appreciating.</w:t>
      </w:r>
    </w:p>
    <w:p w:rsidR="00194F09" w:rsidRPr="00A44718" w:rsidRDefault="00803E16" w:rsidP="007632F0">
      <w:pPr>
        <w:spacing w:line="480" w:lineRule="auto"/>
        <w:ind w:firstLine="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t>In summation, the Balance of Payment (BOP) depicts a system of recording all transactions that a nation’s individuals, companies, and governments bodies undertake with individuals, companies, and governments outside the country. The BOP comes out as one of the most useful and applicable tools in the context of defining the nature and trends in any country (Linsi &amp; Mügge, 2019). The tabulated data shows that although the leaders have been working hard to maintain a favorable balance of payment. However, the amount of imports still remains higher than desired and hence recording unfavorable balance of payment (Linsi &amp; Mügge, 2019). The J-curve sheds and implication that the value of our currency is never stable, and hence the balance of trade would be hard to contain. The weaker a country’s balances, the expensive the imports will be. Economic policies should be enacted to increasingly strike a balance amid imports and exports so as to avoid greater deficits and record a favorable balance of payment.</w:t>
      </w:r>
    </w:p>
    <w:p w:rsidR="00194F09" w:rsidRPr="00A44718" w:rsidRDefault="00194F09" w:rsidP="007632F0">
      <w:pPr>
        <w:spacing w:line="480" w:lineRule="auto"/>
        <w:rPr>
          <w:rFonts w:ascii="Times New Roman" w:hAnsi="Times New Roman" w:cs="Times New Roman"/>
          <w:color w:val="000000" w:themeColor="text1"/>
          <w:sz w:val="24"/>
          <w:szCs w:val="24"/>
        </w:rPr>
      </w:pPr>
    </w:p>
    <w:p w:rsidR="00A44718" w:rsidRPr="00A44718" w:rsidRDefault="00A44718" w:rsidP="007632F0">
      <w:pPr>
        <w:spacing w:line="480" w:lineRule="auto"/>
        <w:rPr>
          <w:rFonts w:ascii="Times New Roman" w:hAnsi="Times New Roman" w:cs="Times New Roman"/>
          <w:color w:val="000000" w:themeColor="text1"/>
          <w:sz w:val="24"/>
          <w:szCs w:val="24"/>
        </w:rPr>
      </w:pPr>
    </w:p>
    <w:p w:rsidR="003E27A9" w:rsidRPr="00A44718" w:rsidRDefault="003E27A9" w:rsidP="007632F0">
      <w:pPr>
        <w:spacing w:line="480" w:lineRule="auto"/>
        <w:jc w:val="center"/>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rPr>
        <w:lastRenderedPageBreak/>
        <w:t>References</w:t>
      </w:r>
    </w:p>
    <w:p w:rsidR="00E06DAF" w:rsidRPr="00A44718" w:rsidRDefault="00E06DAF" w:rsidP="007632F0">
      <w:pPr>
        <w:spacing w:line="480" w:lineRule="auto"/>
        <w:ind w:left="720" w:hanging="720"/>
        <w:rPr>
          <w:rFonts w:ascii="Times New Roman" w:hAnsi="Times New Roman" w:cs="Times New Roman"/>
          <w:color w:val="000000" w:themeColor="text1"/>
          <w:sz w:val="24"/>
          <w:szCs w:val="24"/>
          <w:shd w:val="clear" w:color="auto" w:fill="FFFFFF"/>
        </w:rPr>
      </w:pPr>
      <w:r w:rsidRPr="00A44718">
        <w:rPr>
          <w:rFonts w:ascii="Times New Roman" w:hAnsi="Times New Roman" w:cs="Times New Roman"/>
          <w:color w:val="000000" w:themeColor="text1"/>
          <w:sz w:val="24"/>
          <w:szCs w:val="24"/>
          <w:shd w:val="clear" w:color="auto" w:fill="FFFFFF"/>
        </w:rPr>
        <w:t>Abbas, S. A., &amp; Rogoff, M. K. (2019). </w:t>
      </w:r>
      <w:r w:rsidRPr="00A44718">
        <w:rPr>
          <w:rFonts w:ascii="Times New Roman" w:hAnsi="Times New Roman" w:cs="Times New Roman"/>
          <w:i/>
          <w:iCs/>
          <w:color w:val="000000" w:themeColor="text1"/>
          <w:sz w:val="24"/>
          <w:szCs w:val="24"/>
          <w:shd w:val="clear" w:color="auto" w:fill="FFFFFF"/>
        </w:rPr>
        <w:t>A guide to sovereign debt data</w:t>
      </w:r>
      <w:r w:rsidRPr="00A44718">
        <w:rPr>
          <w:rFonts w:ascii="Times New Roman" w:hAnsi="Times New Roman" w:cs="Times New Roman"/>
          <w:color w:val="000000" w:themeColor="text1"/>
          <w:sz w:val="24"/>
          <w:szCs w:val="24"/>
          <w:shd w:val="clear" w:color="auto" w:fill="FFFFFF"/>
        </w:rPr>
        <w:t>. International Monetary Fund.</w:t>
      </w:r>
    </w:p>
    <w:p w:rsidR="00E06DAF" w:rsidRPr="00A44718" w:rsidRDefault="00E06DAF" w:rsidP="007632F0">
      <w:pPr>
        <w:spacing w:line="480" w:lineRule="auto"/>
        <w:ind w:left="720" w:hanging="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shd w:val="clear" w:color="auto" w:fill="FFFFFF"/>
        </w:rPr>
        <w:t>Alawin, M., &amp; Oqaily, M. (2017). Current account balance, inflation, industry and sustainable development in Jordan. </w:t>
      </w:r>
      <w:r w:rsidRPr="00A44718">
        <w:rPr>
          <w:rFonts w:ascii="Times New Roman" w:hAnsi="Times New Roman" w:cs="Times New Roman"/>
          <w:i/>
          <w:iCs/>
          <w:color w:val="000000" w:themeColor="text1"/>
          <w:sz w:val="24"/>
          <w:szCs w:val="24"/>
          <w:shd w:val="clear" w:color="auto" w:fill="FFFFFF"/>
        </w:rPr>
        <w:t>Revista Galega de Economia</w:t>
      </w:r>
      <w:r w:rsidRPr="00A44718">
        <w:rPr>
          <w:rFonts w:ascii="Times New Roman" w:hAnsi="Times New Roman" w:cs="Times New Roman"/>
          <w:color w:val="000000" w:themeColor="text1"/>
          <w:sz w:val="24"/>
          <w:szCs w:val="24"/>
          <w:shd w:val="clear" w:color="auto" w:fill="FFFFFF"/>
        </w:rPr>
        <w:t>, </w:t>
      </w:r>
      <w:r w:rsidRPr="00A44718">
        <w:rPr>
          <w:rFonts w:ascii="Times New Roman" w:hAnsi="Times New Roman" w:cs="Times New Roman"/>
          <w:i/>
          <w:iCs/>
          <w:color w:val="000000" w:themeColor="text1"/>
          <w:sz w:val="24"/>
          <w:szCs w:val="24"/>
          <w:shd w:val="clear" w:color="auto" w:fill="FFFFFF"/>
        </w:rPr>
        <w:t>26</w:t>
      </w:r>
      <w:r w:rsidRPr="00A44718">
        <w:rPr>
          <w:rFonts w:ascii="Times New Roman" w:hAnsi="Times New Roman" w:cs="Times New Roman"/>
          <w:color w:val="000000" w:themeColor="text1"/>
          <w:sz w:val="24"/>
          <w:szCs w:val="24"/>
          <w:shd w:val="clear" w:color="auto" w:fill="FFFFFF"/>
        </w:rPr>
        <w:t>(3), 45-56.</w:t>
      </w:r>
    </w:p>
    <w:p w:rsidR="00E06DAF" w:rsidRPr="00A44718" w:rsidRDefault="00E06DAF" w:rsidP="007632F0">
      <w:pPr>
        <w:spacing w:line="480" w:lineRule="auto"/>
        <w:ind w:left="720" w:hanging="720"/>
        <w:rPr>
          <w:rFonts w:ascii="Times New Roman" w:hAnsi="Times New Roman" w:cs="Times New Roman"/>
          <w:color w:val="000000" w:themeColor="text1"/>
          <w:sz w:val="24"/>
          <w:szCs w:val="24"/>
          <w:shd w:val="clear" w:color="auto" w:fill="FFFFFF"/>
        </w:rPr>
      </w:pPr>
      <w:r w:rsidRPr="00A44718">
        <w:rPr>
          <w:rFonts w:ascii="Times New Roman" w:hAnsi="Times New Roman" w:cs="Times New Roman"/>
          <w:color w:val="000000" w:themeColor="text1"/>
          <w:sz w:val="24"/>
          <w:szCs w:val="24"/>
          <w:shd w:val="clear" w:color="auto" w:fill="FFFFFF"/>
        </w:rPr>
        <w:t>Brynjolfsson, E., Rock, D., &amp; Syverson, C. (2018). </w:t>
      </w:r>
      <w:r w:rsidRPr="00A44718">
        <w:rPr>
          <w:rFonts w:ascii="Times New Roman" w:hAnsi="Times New Roman" w:cs="Times New Roman"/>
          <w:i/>
          <w:iCs/>
          <w:color w:val="000000" w:themeColor="text1"/>
          <w:sz w:val="24"/>
          <w:szCs w:val="24"/>
          <w:shd w:val="clear" w:color="auto" w:fill="FFFFFF"/>
        </w:rPr>
        <w:t>The productivity J-curve: How intangibles complement general purpose technologies</w:t>
      </w:r>
      <w:r w:rsidRPr="00A44718">
        <w:rPr>
          <w:rFonts w:ascii="Times New Roman" w:hAnsi="Times New Roman" w:cs="Times New Roman"/>
          <w:color w:val="000000" w:themeColor="text1"/>
          <w:sz w:val="24"/>
          <w:szCs w:val="24"/>
          <w:shd w:val="clear" w:color="auto" w:fill="FFFFFF"/>
        </w:rPr>
        <w:t> (No. w25148). National Bureau of Economic Research.</w:t>
      </w:r>
    </w:p>
    <w:p w:rsidR="00E06DAF" w:rsidRPr="00A44718" w:rsidRDefault="00E06DAF" w:rsidP="007632F0">
      <w:pPr>
        <w:spacing w:line="480" w:lineRule="auto"/>
        <w:ind w:left="720" w:hanging="720"/>
        <w:rPr>
          <w:rFonts w:ascii="Times New Roman" w:hAnsi="Times New Roman" w:cs="Times New Roman"/>
          <w:color w:val="000000" w:themeColor="text1"/>
          <w:sz w:val="24"/>
          <w:szCs w:val="24"/>
          <w:shd w:val="clear" w:color="auto" w:fill="FFFFFF"/>
        </w:rPr>
      </w:pPr>
      <w:r w:rsidRPr="00A44718">
        <w:rPr>
          <w:rFonts w:ascii="Times New Roman" w:hAnsi="Times New Roman" w:cs="Times New Roman"/>
          <w:color w:val="000000" w:themeColor="text1"/>
          <w:sz w:val="24"/>
          <w:szCs w:val="24"/>
          <w:shd w:val="clear" w:color="auto" w:fill="FFFFFF"/>
        </w:rPr>
        <w:t>Hadili, A., Raab, R., &amp; Wenzelburger, J. (2020). Trade liberalisation, governance, and the balance of payments: evidence from the Arab Maghreb Union. </w:t>
      </w:r>
      <w:r w:rsidRPr="00A44718">
        <w:rPr>
          <w:rFonts w:ascii="Times New Roman" w:hAnsi="Times New Roman" w:cs="Times New Roman"/>
          <w:i/>
          <w:iCs/>
          <w:color w:val="000000" w:themeColor="text1"/>
          <w:sz w:val="24"/>
          <w:szCs w:val="24"/>
          <w:shd w:val="clear" w:color="auto" w:fill="FFFFFF"/>
        </w:rPr>
        <w:t>Middle East Development Journal</w:t>
      </w:r>
      <w:r w:rsidRPr="00A44718">
        <w:rPr>
          <w:rFonts w:ascii="Times New Roman" w:hAnsi="Times New Roman" w:cs="Times New Roman"/>
          <w:color w:val="000000" w:themeColor="text1"/>
          <w:sz w:val="24"/>
          <w:szCs w:val="24"/>
          <w:shd w:val="clear" w:color="auto" w:fill="FFFFFF"/>
        </w:rPr>
        <w:t>, 1-30.</w:t>
      </w:r>
    </w:p>
    <w:p w:rsidR="00E06DAF" w:rsidRPr="00A44718" w:rsidRDefault="00E06DAF" w:rsidP="007632F0">
      <w:pPr>
        <w:spacing w:line="480" w:lineRule="auto"/>
        <w:ind w:left="720" w:hanging="720"/>
        <w:rPr>
          <w:rFonts w:ascii="Times New Roman" w:hAnsi="Times New Roman" w:cs="Times New Roman"/>
          <w:color w:val="000000" w:themeColor="text1"/>
          <w:sz w:val="24"/>
          <w:szCs w:val="24"/>
        </w:rPr>
      </w:pPr>
      <w:r w:rsidRPr="00A44718">
        <w:rPr>
          <w:rFonts w:ascii="Times New Roman" w:hAnsi="Times New Roman" w:cs="Times New Roman"/>
          <w:color w:val="000000" w:themeColor="text1"/>
          <w:sz w:val="24"/>
          <w:szCs w:val="24"/>
          <w:shd w:val="clear" w:color="auto" w:fill="FFFFFF"/>
        </w:rPr>
        <w:t xml:space="preserve">International Monetary Fonts (2018). </w:t>
      </w:r>
      <w:r w:rsidRPr="00A44718">
        <w:rPr>
          <w:rFonts w:ascii="Times New Roman" w:hAnsi="Times New Roman" w:cs="Times New Roman"/>
          <w:color w:val="000000" w:themeColor="text1"/>
          <w:sz w:val="24"/>
          <w:szCs w:val="24"/>
        </w:rPr>
        <w:t xml:space="preserve">Current account balance (BoP, current US$) – Tendency, chills, and protest. </w:t>
      </w:r>
      <w:r w:rsidR="00417C31" w:rsidRPr="00A44718">
        <w:rPr>
          <w:rFonts w:ascii="Times New Roman" w:hAnsi="Times New Roman" w:cs="Times New Roman"/>
          <w:color w:val="000000" w:themeColor="text1"/>
          <w:sz w:val="24"/>
          <w:szCs w:val="24"/>
        </w:rPr>
        <w:t>The World</w:t>
      </w:r>
      <w:r w:rsidRPr="00A44718">
        <w:rPr>
          <w:rFonts w:ascii="Times New Roman" w:hAnsi="Times New Roman" w:cs="Times New Roman"/>
          <w:color w:val="000000" w:themeColor="text1"/>
          <w:sz w:val="24"/>
          <w:szCs w:val="24"/>
        </w:rPr>
        <w:t xml:space="preserve"> Bank. Retrieved from </w:t>
      </w:r>
      <w:hyperlink r:id="rId7" w:history="1">
        <w:r w:rsidRPr="00622425">
          <w:rPr>
            <w:rStyle w:val="Hyperlink"/>
            <w:rFonts w:ascii="Times New Roman" w:hAnsi="Times New Roman" w:cs="Times New Roman"/>
            <w:color w:val="000000" w:themeColor="text1"/>
            <w:sz w:val="24"/>
            <w:szCs w:val="24"/>
            <w:u w:val="none"/>
          </w:rPr>
          <w:t>https://data.worldbank.org/indicator/BN.CAB.XOKA.CD?end=2018&amp;locations=US&amp;start=2007&amp;view=chart</w:t>
        </w:r>
      </w:hyperlink>
    </w:p>
    <w:p w:rsidR="00E06DAF" w:rsidRPr="00A44718" w:rsidRDefault="00E06DAF" w:rsidP="007632F0">
      <w:pPr>
        <w:spacing w:line="480" w:lineRule="auto"/>
        <w:ind w:left="720" w:hanging="720"/>
        <w:rPr>
          <w:rFonts w:ascii="Times New Roman" w:hAnsi="Times New Roman" w:cs="Times New Roman"/>
          <w:color w:val="000000" w:themeColor="text1"/>
          <w:sz w:val="24"/>
          <w:szCs w:val="24"/>
          <w:shd w:val="clear" w:color="auto" w:fill="FFFFFF"/>
        </w:rPr>
      </w:pPr>
      <w:r w:rsidRPr="00A44718">
        <w:rPr>
          <w:rFonts w:ascii="Times New Roman" w:hAnsi="Times New Roman" w:cs="Times New Roman"/>
          <w:color w:val="000000" w:themeColor="text1"/>
          <w:sz w:val="24"/>
          <w:szCs w:val="24"/>
          <w:shd w:val="clear" w:color="auto" w:fill="FFFFFF"/>
        </w:rPr>
        <w:t>Linsi, L., &amp; Mügge, D. K. (2019). Globalization and the growing defects of international economic statistics. </w:t>
      </w:r>
      <w:r w:rsidRPr="00A44718">
        <w:rPr>
          <w:rFonts w:ascii="Times New Roman" w:hAnsi="Times New Roman" w:cs="Times New Roman"/>
          <w:i/>
          <w:iCs/>
          <w:color w:val="000000" w:themeColor="text1"/>
          <w:sz w:val="24"/>
          <w:szCs w:val="24"/>
          <w:shd w:val="clear" w:color="auto" w:fill="FFFFFF"/>
        </w:rPr>
        <w:t>Review of international political economy</w:t>
      </w:r>
      <w:r w:rsidRPr="00A44718">
        <w:rPr>
          <w:rFonts w:ascii="Times New Roman" w:hAnsi="Times New Roman" w:cs="Times New Roman"/>
          <w:color w:val="000000" w:themeColor="text1"/>
          <w:sz w:val="24"/>
          <w:szCs w:val="24"/>
          <w:shd w:val="clear" w:color="auto" w:fill="FFFFFF"/>
        </w:rPr>
        <w:t>, </w:t>
      </w:r>
      <w:r w:rsidRPr="00A44718">
        <w:rPr>
          <w:rFonts w:ascii="Times New Roman" w:hAnsi="Times New Roman" w:cs="Times New Roman"/>
          <w:i/>
          <w:iCs/>
          <w:color w:val="000000" w:themeColor="text1"/>
          <w:sz w:val="24"/>
          <w:szCs w:val="24"/>
          <w:shd w:val="clear" w:color="auto" w:fill="FFFFFF"/>
        </w:rPr>
        <w:t>26</w:t>
      </w:r>
      <w:r w:rsidRPr="00A44718">
        <w:rPr>
          <w:rFonts w:ascii="Times New Roman" w:hAnsi="Times New Roman" w:cs="Times New Roman"/>
          <w:color w:val="000000" w:themeColor="text1"/>
          <w:sz w:val="24"/>
          <w:szCs w:val="24"/>
          <w:shd w:val="clear" w:color="auto" w:fill="FFFFFF"/>
        </w:rPr>
        <w:t>(3), 361-383.</w:t>
      </w:r>
    </w:p>
    <w:sectPr w:rsidR="00E06DAF" w:rsidRPr="00A44718" w:rsidSect="00A4471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3CE" w:rsidRDefault="00C523CE" w:rsidP="00481D9F">
      <w:pPr>
        <w:spacing w:after="0" w:line="240" w:lineRule="auto"/>
      </w:pPr>
      <w:r>
        <w:separator/>
      </w:r>
    </w:p>
  </w:endnote>
  <w:endnote w:type="continuationSeparator" w:id="0">
    <w:p w:rsidR="00C523CE" w:rsidRDefault="00C523CE" w:rsidP="0048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3CE" w:rsidRDefault="00C523CE" w:rsidP="00481D9F">
      <w:pPr>
        <w:spacing w:after="0" w:line="240" w:lineRule="auto"/>
      </w:pPr>
      <w:r>
        <w:separator/>
      </w:r>
    </w:p>
  </w:footnote>
  <w:footnote w:type="continuationSeparator" w:id="0">
    <w:p w:rsidR="00C523CE" w:rsidRDefault="00C523CE" w:rsidP="00481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18" w:rsidRPr="00A44718" w:rsidRDefault="00A44718">
    <w:pPr>
      <w:pStyle w:val="Header"/>
      <w:rPr>
        <w:rFonts w:ascii="Times New Roman" w:hAnsi="Times New Roman" w:cs="Times New Roman"/>
        <w:sz w:val="24"/>
        <w:szCs w:val="24"/>
      </w:rPr>
    </w:pPr>
    <w:r w:rsidRPr="00A44718">
      <w:rPr>
        <w:rFonts w:ascii="Times New Roman" w:hAnsi="Times New Roman" w:cs="Times New Roman"/>
        <w:sz w:val="24"/>
        <w:szCs w:val="24"/>
      </w:rPr>
      <w:t>BALANCE OF PAYMENT</w:t>
    </w:r>
    <w:r w:rsidR="00A70A09">
      <w:rPr>
        <w:rFonts w:ascii="Times New Roman" w:hAnsi="Times New Roman" w:cs="Times New Roman"/>
        <w:sz w:val="24"/>
        <w:szCs w:val="24"/>
      </w:rPr>
      <w:t>S</w:t>
    </w:r>
    <w:r w:rsidRPr="00A44718">
      <w:rPr>
        <w:rFonts w:ascii="Times New Roman" w:hAnsi="Times New Roman" w:cs="Times New Roman"/>
        <w:sz w:val="24"/>
        <w:szCs w:val="24"/>
      </w:rPr>
      <w:t xml:space="preserve"> (BOP)</w:t>
    </w:r>
    <w:r w:rsidR="006B4E18">
      <w:rPr>
        <w:rFonts w:ascii="Times New Roman" w:hAnsi="Times New Roman" w:cs="Times New Roman"/>
        <w:sz w:val="24"/>
        <w:szCs w:val="24"/>
      </w:rPr>
      <w:tab/>
    </w:r>
    <w:sdt>
      <w:sdtPr>
        <w:rPr>
          <w:rFonts w:ascii="Times New Roman" w:hAnsi="Times New Roman" w:cs="Times New Roman"/>
          <w:sz w:val="24"/>
          <w:szCs w:val="24"/>
        </w:rPr>
        <w:id w:val="1755474268"/>
        <w:docPartObj>
          <w:docPartGallery w:val="Page Numbers (Top of Page)"/>
          <w:docPartUnique/>
        </w:docPartObj>
      </w:sdtPr>
      <w:sdtEndPr>
        <w:rPr>
          <w:noProof/>
        </w:rPr>
      </w:sdtEndPr>
      <w:sdtContent>
        <w:r>
          <w:rPr>
            <w:rFonts w:ascii="Times New Roman" w:hAnsi="Times New Roman" w:cs="Times New Roman"/>
            <w:sz w:val="24"/>
            <w:szCs w:val="24"/>
          </w:rPr>
          <w:tab/>
        </w:r>
        <w:r w:rsidRPr="00A44718">
          <w:rPr>
            <w:rFonts w:ascii="Times New Roman" w:hAnsi="Times New Roman" w:cs="Times New Roman"/>
            <w:sz w:val="24"/>
            <w:szCs w:val="24"/>
          </w:rPr>
          <w:fldChar w:fldCharType="begin"/>
        </w:r>
        <w:r w:rsidRPr="00A44718">
          <w:rPr>
            <w:rFonts w:ascii="Times New Roman" w:hAnsi="Times New Roman" w:cs="Times New Roman"/>
            <w:sz w:val="24"/>
            <w:szCs w:val="24"/>
          </w:rPr>
          <w:instrText xml:space="preserve"> PAGE   \* MERGEFORMAT </w:instrText>
        </w:r>
        <w:r w:rsidRPr="00A44718">
          <w:rPr>
            <w:rFonts w:ascii="Times New Roman" w:hAnsi="Times New Roman" w:cs="Times New Roman"/>
            <w:sz w:val="24"/>
            <w:szCs w:val="24"/>
          </w:rPr>
          <w:fldChar w:fldCharType="separate"/>
        </w:r>
        <w:r w:rsidR="003E0F75">
          <w:rPr>
            <w:rFonts w:ascii="Times New Roman" w:hAnsi="Times New Roman" w:cs="Times New Roman"/>
            <w:noProof/>
            <w:sz w:val="24"/>
            <w:szCs w:val="24"/>
          </w:rPr>
          <w:t>5</w:t>
        </w:r>
        <w:r w:rsidRPr="00A44718">
          <w:rPr>
            <w:rFonts w:ascii="Times New Roman" w:hAnsi="Times New Roman" w:cs="Times New Roman"/>
            <w:noProof/>
            <w:sz w:val="24"/>
            <w:szCs w:val="24"/>
          </w:rPr>
          <w:fldChar w:fldCharType="end"/>
        </w:r>
      </w:sdtContent>
    </w:sdt>
  </w:p>
  <w:p w:rsidR="00A44718" w:rsidRPr="00A44718" w:rsidRDefault="00A4471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18" w:rsidRPr="006B4E18" w:rsidRDefault="00A44718">
    <w:pPr>
      <w:pStyle w:val="Header"/>
      <w:rPr>
        <w:rFonts w:ascii="Times New Roman" w:hAnsi="Times New Roman" w:cs="Times New Roman"/>
        <w:sz w:val="24"/>
        <w:szCs w:val="24"/>
      </w:rPr>
    </w:pPr>
    <w:r w:rsidRPr="006B4E18">
      <w:rPr>
        <w:rFonts w:ascii="Times New Roman" w:hAnsi="Times New Roman" w:cs="Times New Roman"/>
        <w:sz w:val="24"/>
        <w:szCs w:val="24"/>
      </w:rPr>
      <w:t>BALANCE OF PAYMENT</w:t>
    </w:r>
    <w:r w:rsidR="00A70A09">
      <w:rPr>
        <w:rFonts w:ascii="Times New Roman" w:hAnsi="Times New Roman" w:cs="Times New Roman"/>
        <w:sz w:val="24"/>
        <w:szCs w:val="24"/>
      </w:rPr>
      <w:t>S</w:t>
    </w:r>
    <w:r w:rsidRPr="006B4E18">
      <w:rPr>
        <w:rFonts w:ascii="Times New Roman" w:hAnsi="Times New Roman" w:cs="Times New Roman"/>
        <w:sz w:val="24"/>
        <w:szCs w:val="24"/>
      </w:rPr>
      <w:t xml:space="preserve"> (BOP)</w:t>
    </w:r>
    <w:r w:rsidR="006B4E18" w:rsidRPr="006B4E18">
      <w:rPr>
        <w:rFonts w:ascii="Times New Roman" w:hAnsi="Times New Roman" w:cs="Times New Roman"/>
        <w:sz w:val="24"/>
        <w:szCs w:val="24"/>
      </w:rPr>
      <w:tab/>
    </w:r>
    <w:r w:rsidRPr="006B4E18">
      <w:rPr>
        <w:rFonts w:ascii="Times New Roman" w:hAnsi="Times New Roman" w:cs="Times New Roman"/>
        <w:sz w:val="24"/>
        <w:szCs w:val="24"/>
      </w:rPr>
      <w:tab/>
    </w:r>
    <w:sdt>
      <w:sdtPr>
        <w:rPr>
          <w:rFonts w:ascii="Times New Roman" w:hAnsi="Times New Roman" w:cs="Times New Roman"/>
          <w:sz w:val="24"/>
          <w:szCs w:val="24"/>
        </w:rPr>
        <w:id w:val="809827255"/>
        <w:docPartObj>
          <w:docPartGallery w:val="Page Numbers (Top of Page)"/>
          <w:docPartUnique/>
        </w:docPartObj>
      </w:sdtPr>
      <w:sdtEndPr>
        <w:rPr>
          <w:noProof/>
        </w:rPr>
      </w:sdtEndPr>
      <w:sdtContent>
        <w:r w:rsidRPr="006B4E18">
          <w:rPr>
            <w:rFonts w:ascii="Times New Roman" w:hAnsi="Times New Roman" w:cs="Times New Roman"/>
            <w:sz w:val="24"/>
            <w:szCs w:val="24"/>
          </w:rPr>
          <w:fldChar w:fldCharType="begin"/>
        </w:r>
        <w:r w:rsidRPr="006B4E18">
          <w:rPr>
            <w:rFonts w:ascii="Times New Roman" w:hAnsi="Times New Roman" w:cs="Times New Roman"/>
            <w:sz w:val="24"/>
            <w:szCs w:val="24"/>
          </w:rPr>
          <w:instrText xml:space="preserve"> PAGE   \* MERGEFORMAT </w:instrText>
        </w:r>
        <w:r w:rsidRPr="006B4E18">
          <w:rPr>
            <w:rFonts w:ascii="Times New Roman" w:hAnsi="Times New Roman" w:cs="Times New Roman"/>
            <w:sz w:val="24"/>
            <w:szCs w:val="24"/>
          </w:rPr>
          <w:fldChar w:fldCharType="separate"/>
        </w:r>
        <w:r w:rsidR="003E0F75">
          <w:rPr>
            <w:rFonts w:ascii="Times New Roman" w:hAnsi="Times New Roman" w:cs="Times New Roman"/>
            <w:noProof/>
            <w:sz w:val="24"/>
            <w:szCs w:val="24"/>
          </w:rPr>
          <w:t>1</w:t>
        </w:r>
        <w:r w:rsidRPr="006B4E18">
          <w:rPr>
            <w:rFonts w:ascii="Times New Roman" w:hAnsi="Times New Roman" w:cs="Times New Roman"/>
            <w:noProof/>
            <w:sz w:val="24"/>
            <w:szCs w:val="24"/>
          </w:rPr>
          <w:fldChar w:fldCharType="end"/>
        </w:r>
      </w:sdtContent>
    </w:sdt>
  </w:p>
  <w:p w:rsidR="00A44718" w:rsidRPr="006B4E18" w:rsidRDefault="00A4471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FC6"/>
    <w:rsid w:val="000264CA"/>
    <w:rsid w:val="00050390"/>
    <w:rsid w:val="000702AB"/>
    <w:rsid w:val="000736AD"/>
    <w:rsid w:val="000814DB"/>
    <w:rsid w:val="000D47CC"/>
    <w:rsid w:val="000D6EDF"/>
    <w:rsid w:val="0010634F"/>
    <w:rsid w:val="0011038D"/>
    <w:rsid w:val="00120E4F"/>
    <w:rsid w:val="00121FD6"/>
    <w:rsid w:val="001248C6"/>
    <w:rsid w:val="00131C04"/>
    <w:rsid w:val="00134BCA"/>
    <w:rsid w:val="00150916"/>
    <w:rsid w:val="00151B8D"/>
    <w:rsid w:val="00185CDA"/>
    <w:rsid w:val="001907F4"/>
    <w:rsid w:val="00194064"/>
    <w:rsid w:val="00194F09"/>
    <w:rsid w:val="001A3D1E"/>
    <w:rsid w:val="001B59CA"/>
    <w:rsid w:val="001B666E"/>
    <w:rsid w:val="001C47CC"/>
    <w:rsid w:val="001E2D8B"/>
    <w:rsid w:val="00203586"/>
    <w:rsid w:val="0026745A"/>
    <w:rsid w:val="0029076D"/>
    <w:rsid w:val="0029153D"/>
    <w:rsid w:val="002B56EC"/>
    <w:rsid w:val="002E2E6B"/>
    <w:rsid w:val="00305DF7"/>
    <w:rsid w:val="00336D6F"/>
    <w:rsid w:val="003864CE"/>
    <w:rsid w:val="0039301E"/>
    <w:rsid w:val="0039693A"/>
    <w:rsid w:val="003C3536"/>
    <w:rsid w:val="003C78F1"/>
    <w:rsid w:val="003D1376"/>
    <w:rsid w:val="003E0F75"/>
    <w:rsid w:val="003E27A9"/>
    <w:rsid w:val="003F771F"/>
    <w:rsid w:val="00417C31"/>
    <w:rsid w:val="00427D80"/>
    <w:rsid w:val="00431473"/>
    <w:rsid w:val="00440A4E"/>
    <w:rsid w:val="00440C4E"/>
    <w:rsid w:val="004454E3"/>
    <w:rsid w:val="00481D9F"/>
    <w:rsid w:val="004B15AD"/>
    <w:rsid w:val="004B6AAC"/>
    <w:rsid w:val="004C0DDC"/>
    <w:rsid w:val="004E5A4C"/>
    <w:rsid w:val="00510474"/>
    <w:rsid w:val="00521E3A"/>
    <w:rsid w:val="00522A1C"/>
    <w:rsid w:val="00572C36"/>
    <w:rsid w:val="00581379"/>
    <w:rsid w:val="005B48FE"/>
    <w:rsid w:val="005C524A"/>
    <w:rsid w:val="005E1923"/>
    <w:rsid w:val="00622425"/>
    <w:rsid w:val="00624BC4"/>
    <w:rsid w:val="006B4E18"/>
    <w:rsid w:val="006C0521"/>
    <w:rsid w:val="006C3027"/>
    <w:rsid w:val="006D39B7"/>
    <w:rsid w:val="006D498D"/>
    <w:rsid w:val="006D664C"/>
    <w:rsid w:val="006F0FC6"/>
    <w:rsid w:val="006F7EE4"/>
    <w:rsid w:val="0071065F"/>
    <w:rsid w:val="00731978"/>
    <w:rsid w:val="0075642C"/>
    <w:rsid w:val="007632F0"/>
    <w:rsid w:val="00774252"/>
    <w:rsid w:val="007A07EF"/>
    <w:rsid w:val="007E0FB4"/>
    <w:rsid w:val="007F61F0"/>
    <w:rsid w:val="00803E16"/>
    <w:rsid w:val="00821226"/>
    <w:rsid w:val="008220EA"/>
    <w:rsid w:val="0082376D"/>
    <w:rsid w:val="008634AA"/>
    <w:rsid w:val="00871F87"/>
    <w:rsid w:val="008851B5"/>
    <w:rsid w:val="008860D0"/>
    <w:rsid w:val="008941B3"/>
    <w:rsid w:val="008D0A4A"/>
    <w:rsid w:val="008D419D"/>
    <w:rsid w:val="008D4879"/>
    <w:rsid w:val="008F31DE"/>
    <w:rsid w:val="00935F3E"/>
    <w:rsid w:val="00962C17"/>
    <w:rsid w:val="00995725"/>
    <w:rsid w:val="009C042E"/>
    <w:rsid w:val="009C2AEA"/>
    <w:rsid w:val="009C391C"/>
    <w:rsid w:val="009D22C5"/>
    <w:rsid w:val="009E235A"/>
    <w:rsid w:val="009F2DF2"/>
    <w:rsid w:val="00A23CDC"/>
    <w:rsid w:val="00A44718"/>
    <w:rsid w:val="00A47014"/>
    <w:rsid w:val="00A70A09"/>
    <w:rsid w:val="00AE367E"/>
    <w:rsid w:val="00B32582"/>
    <w:rsid w:val="00B46F6A"/>
    <w:rsid w:val="00B62CAC"/>
    <w:rsid w:val="00B74BA0"/>
    <w:rsid w:val="00BB5DAE"/>
    <w:rsid w:val="00BB7FB7"/>
    <w:rsid w:val="00BD1BEB"/>
    <w:rsid w:val="00C143D5"/>
    <w:rsid w:val="00C32131"/>
    <w:rsid w:val="00C523CE"/>
    <w:rsid w:val="00C66DB5"/>
    <w:rsid w:val="00D06D01"/>
    <w:rsid w:val="00D144D1"/>
    <w:rsid w:val="00D57DC3"/>
    <w:rsid w:val="00DC3AC7"/>
    <w:rsid w:val="00DD5B77"/>
    <w:rsid w:val="00E06DAF"/>
    <w:rsid w:val="00E72997"/>
    <w:rsid w:val="00E80B2D"/>
    <w:rsid w:val="00EC0699"/>
    <w:rsid w:val="00EE62C5"/>
    <w:rsid w:val="00F274C9"/>
    <w:rsid w:val="00F371AD"/>
    <w:rsid w:val="00F4637F"/>
    <w:rsid w:val="00F50404"/>
    <w:rsid w:val="00F72001"/>
    <w:rsid w:val="00FA6078"/>
    <w:rsid w:val="00FC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17227-AB67-41D0-B9A7-EC72BFA6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40A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41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1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D9F"/>
  </w:style>
  <w:style w:type="paragraph" w:styleId="Footer">
    <w:name w:val="footer"/>
    <w:basedOn w:val="Normal"/>
    <w:link w:val="FooterChar"/>
    <w:uiPriority w:val="99"/>
    <w:unhideWhenUsed/>
    <w:rsid w:val="00481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D9F"/>
  </w:style>
  <w:style w:type="character" w:customStyle="1" w:styleId="Heading1Char">
    <w:name w:val="Heading 1 Char"/>
    <w:basedOn w:val="DefaultParagraphFont"/>
    <w:link w:val="Heading1"/>
    <w:uiPriority w:val="9"/>
    <w:rsid w:val="00440A4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940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499614">
      <w:bodyDiv w:val="1"/>
      <w:marLeft w:val="0"/>
      <w:marRight w:val="0"/>
      <w:marTop w:val="0"/>
      <w:marBottom w:val="0"/>
      <w:divBdr>
        <w:top w:val="none" w:sz="0" w:space="0" w:color="auto"/>
        <w:left w:val="none" w:sz="0" w:space="0" w:color="auto"/>
        <w:bottom w:val="none" w:sz="0" w:space="0" w:color="auto"/>
        <w:right w:val="none" w:sz="0" w:space="0" w:color="auto"/>
      </w:divBdr>
    </w:div>
    <w:div w:id="193385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ata.worldbank.org/indicator/BN.CAB.XOKA.CD?end=2018&amp;locations=US&amp;start=2007&amp;view=cha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Balance of</a:t>
            </a:r>
            <a:r>
              <a:rPr lang="en-US" baseline="0"/>
              <a:t> Payment of  the </a:t>
            </a:r>
            <a:r>
              <a:rPr lang="en-US"/>
              <a:t>United States rom</a:t>
            </a:r>
            <a:r>
              <a:rPr lang="en-US" baseline="0"/>
              <a:t> 2007 to 2018</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cked"/>
        <c:varyColors val="0"/>
        <c:ser>
          <c:idx val="0"/>
          <c:order val="0"/>
          <c:tx>
            <c:strRef>
              <c:f>Sheet1!$B$1</c:f>
              <c:strCache>
                <c:ptCount val="1"/>
                <c:pt idx="0">
                  <c:v>Series 1</c:v>
                </c:pt>
              </c:strCache>
            </c:strRef>
          </c:tx>
          <c:spPr>
            <a:ln w="22225" cap="rnd">
              <a:solidFill>
                <a:schemeClr val="accent1"/>
              </a:solidFill>
              <a:round/>
            </a:ln>
            <a:effectLst/>
          </c:spPr>
          <c:marker>
            <c:symbol val="none"/>
          </c:marker>
          <c:cat>
            <c:numRef>
              <c:f>Sheet1!$A$2:$A$13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Sheet1!$B$2:$B$13</c:f>
              <c:numCache>
                <c:formatCode>General</c:formatCode>
                <c:ptCount val="12"/>
                <c:pt idx="0">
                  <c:v>-711.03300000000002</c:v>
                </c:pt>
                <c:pt idx="1">
                  <c:v>-680.39099999999996</c:v>
                </c:pt>
                <c:pt idx="2">
                  <c:v>-372.52199999999999</c:v>
                </c:pt>
                <c:pt idx="3">
                  <c:v>-431.721</c:v>
                </c:pt>
                <c:pt idx="4">
                  <c:v>-445.66699999999997</c:v>
                </c:pt>
                <c:pt idx="5">
                  <c:v>-426.83</c:v>
                </c:pt>
                <c:pt idx="6">
                  <c:v>-348.803</c:v>
                </c:pt>
                <c:pt idx="7">
                  <c:v>-365.19299999999998</c:v>
                </c:pt>
                <c:pt idx="8">
                  <c:v>-407.76900000000001</c:v>
                </c:pt>
                <c:pt idx="9">
                  <c:v>-428.35</c:v>
                </c:pt>
                <c:pt idx="10">
                  <c:v>-439.46199999999999</c:v>
                </c:pt>
                <c:pt idx="11">
                  <c:v>-490.99099999999999</c:v>
                </c:pt>
              </c:numCache>
            </c:numRef>
          </c:val>
          <c:smooth val="0"/>
        </c:ser>
        <c:ser>
          <c:idx val="1"/>
          <c:order val="1"/>
          <c:tx>
            <c:strRef>
              <c:f>Sheet1!$C$1</c:f>
              <c:strCache>
                <c:ptCount val="1"/>
                <c:pt idx="0">
                  <c:v> 2</c:v>
                </c:pt>
              </c:strCache>
            </c:strRef>
          </c:tx>
          <c:spPr>
            <a:ln w="22225" cap="rnd">
              <a:solidFill>
                <a:schemeClr val="accent2"/>
              </a:solidFill>
              <a:round/>
            </a:ln>
            <a:effectLst/>
          </c:spPr>
          <c:marker>
            <c:symbol val="none"/>
          </c:marker>
          <c:cat>
            <c:numRef>
              <c:f>Sheet1!$A$2:$A$13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Sheet1!$C$2:$C$13</c:f>
              <c:numCache>
                <c:formatCode>General</c:formatCode>
                <c:ptCount val="12"/>
              </c:numCache>
            </c:numRef>
          </c:val>
          <c:smooth val="0"/>
        </c:ser>
        <c:dLbls>
          <c:showLegendKey val="0"/>
          <c:showVal val="0"/>
          <c:showCatName val="0"/>
          <c:showSerName val="0"/>
          <c:showPercent val="0"/>
          <c:showBubbleSize val="0"/>
        </c:dLbls>
        <c:smooth val="0"/>
        <c:axId val="306920784"/>
        <c:axId val="306921176"/>
      </c:lineChart>
      <c:catAx>
        <c:axId val="3069207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306921176"/>
        <c:crosses val="autoZero"/>
        <c:auto val="1"/>
        <c:lblAlgn val="ctr"/>
        <c:lblOffset val="100"/>
        <c:noMultiLvlLbl val="0"/>
      </c:catAx>
      <c:valAx>
        <c:axId val="306921176"/>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Amount in Billion dollars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0692078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2020-06-05T01:13:00Z</dcterms:created>
  <dcterms:modified xsi:type="dcterms:W3CDTF">2020-06-05T01:16:00Z</dcterms:modified>
</cp:coreProperties>
</file>